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455F" w14:textId="2162BC79" w:rsidR="004A4F79" w:rsidRPr="00681F08" w:rsidRDefault="004A4F79" w:rsidP="00681F08">
      <w:pPr>
        <w:ind w:right="-81"/>
      </w:pPr>
    </w:p>
    <w:p w14:paraId="01BBB038" w14:textId="77777777" w:rsidR="004A4F79" w:rsidRDefault="004A4F79" w:rsidP="004A4F79">
      <w:pPr>
        <w:jc w:val="righ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ПРОЕКТ</w:t>
      </w:r>
    </w:p>
    <w:p w14:paraId="18640041" w14:textId="77777777" w:rsidR="004A4F79" w:rsidRDefault="004A4F79" w:rsidP="004A4F79">
      <w:pPr>
        <w:jc w:val="center"/>
        <w:rPr>
          <w:rStyle w:val="18"/>
          <w:sz w:val="28"/>
          <w:szCs w:val="28"/>
        </w:rPr>
      </w:pPr>
    </w:p>
    <w:p w14:paraId="4F6A8206" w14:textId="77777777" w:rsidR="004A4F79" w:rsidRDefault="004A4F79" w:rsidP="004A4F79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62E16729" w:rsidR="004A4F79" w:rsidRDefault="004A4F79" w:rsidP="00511F7B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</w:t>
      </w:r>
      <w:proofErr w:type="gramEnd"/>
      <w:r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422BC2BF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 на 2022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0" w:name="_Hlk83901177"/>
      <w:r>
        <w:rPr>
          <w:sz w:val="28"/>
          <w:szCs w:val="28"/>
        </w:rPr>
        <w:t>«Информационный бюллетень»</w:t>
      </w:r>
      <w:bookmarkEnd w:id="0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79">
        <w:rPr>
          <w:sz w:val="28"/>
          <w:szCs w:val="28"/>
        </w:rPr>
        <w:t xml:space="preserve">. 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EB552BF" w14:textId="4765033E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</w:t>
      </w:r>
      <w:r w:rsidR="009F554B">
        <w:rPr>
          <w:sz w:val="28"/>
          <w:szCs w:val="28"/>
        </w:rPr>
        <w:t xml:space="preserve"> 01.01.2022 года</w:t>
      </w:r>
      <w:r w:rsidR="004A4F79">
        <w:rPr>
          <w:sz w:val="28"/>
          <w:szCs w:val="28"/>
        </w:rPr>
        <w:t>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77777777" w:rsid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77777777" w:rsidR="004A4F79" w:rsidRPr="008B7DA5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на 2022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</w:t>
      </w:r>
      <w:proofErr w:type="gramEnd"/>
      <w:r w:rsidR="002D6BD6">
        <w:rPr>
          <w:sz w:val="28"/>
          <w:szCs w:val="28"/>
        </w:rPr>
        <w:t>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</w:t>
      </w:r>
      <w:proofErr w:type="gramStart"/>
      <w:r w:rsidR="002C6DF6"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77777777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1" w:name="_Hlk83893851"/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</w:p>
    <w:bookmarkEnd w:id="1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15B24361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lastRenderedPageBreak/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59317995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proofErr w:type="gramStart"/>
            <w:r w:rsidR="002D6BD6">
              <w:t>Ленинское</w:t>
            </w:r>
            <w:proofErr w:type="gramEnd"/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="004A4F79" w:rsidRPr="002D6BD6">
              <w:t xml:space="preserve">  </w:t>
            </w:r>
          </w:p>
        </w:tc>
      </w:tr>
    </w:tbl>
    <w:p w14:paraId="5408A3DB" w14:textId="3A9735BC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4A4F79"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4A4F79"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4A4F79" w:rsidRPr="008B7DA5">
        <w:rPr>
          <w:sz w:val="28"/>
          <w:szCs w:val="28"/>
        </w:rPr>
        <w:t xml:space="preserve"> на 2022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2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2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3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3"/>
    </w:p>
    <w:p w14:paraId="4988816C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77046177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35934259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4A4F79" w:rsidRPr="008B7DA5">
        <w:rPr>
          <w:sz w:val="28"/>
          <w:szCs w:val="28"/>
        </w:rPr>
        <w:t xml:space="preserve"> на 2022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822E9A" w:rsidRPr="005B67AA" w14:paraId="36FE4091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</w:t>
            </w:r>
            <w:r w:rsidRPr="005B67AA">
              <w:lastRenderedPageBreak/>
              <w:t xml:space="preserve">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lastRenderedPageBreak/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  <w:tr w:rsidR="00822E9A" w:rsidRPr="005B67AA" w14:paraId="73633968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5B67AA">
              <w:lastRenderedPageBreak/>
              <w:t xml:space="preserve">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63182774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Консультирование, осуществляется по следующим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4" w:name="_Hlk83893965"/>
            <w: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t>1 раз в год</w:t>
            </w:r>
          </w:p>
        </w:tc>
      </w:tr>
      <w:bookmarkEnd w:id="4"/>
      <w:tr w:rsidR="00822E9A" w:rsidRPr="005B67AA" w14:paraId="76BC01E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 xml:space="preserve">О проведении обязательного профилактического визита </w:t>
            </w:r>
            <w:r w:rsidRPr="005B67AA">
              <w:lastRenderedPageBreak/>
              <w:t>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</w:t>
            </w:r>
            <w:r w:rsidRPr="005B67AA">
              <w:lastRenderedPageBreak/>
              <w:t xml:space="preserve">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509C17E9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4A4F79" w:rsidRPr="00DD15A9" w14:paraId="4B8D54B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1462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456219ED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58139158" w14:textId="63E53B82" w:rsidR="004A4F79" w:rsidRDefault="00681F08">
      <w:r>
        <w:rPr>
          <w:rStyle w:val="18"/>
          <w:sz w:val="28"/>
        </w:rPr>
        <w:t xml:space="preserve"> </w:t>
      </w:r>
      <w:bookmarkStart w:id="5" w:name="_GoBack"/>
      <w:bookmarkEnd w:id="5"/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91286" w14:textId="77777777" w:rsidR="00C62CD0" w:rsidRDefault="00C62CD0">
      <w:r>
        <w:separator/>
      </w:r>
    </w:p>
  </w:endnote>
  <w:endnote w:type="continuationSeparator" w:id="0">
    <w:p w14:paraId="505D8EEF" w14:textId="77777777" w:rsidR="00C62CD0" w:rsidRDefault="00C6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96552" w14:textId="77777777" w:rsidR="00C62CD0" w:rsidRDefault="00C62CD0">
      <w:r>
        <w:separator/>
      </w:r>
    </w:p>
  </w:footnote>
  <w:footnote w:type="continuationSeparator" w:id="0">
    <w:p w14:paraId="3D238861" w14:textId="77777777" w:rsidR="00C62CD0" w:rsidRDefault="00C6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1F08">
      <w:rPr>
        <w:noProof/>
      </w:rPr>
      <w:t>2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81F08"/>
    <w:rsid w:val="00697E23"/>
    <w:rsid w:val="006A36B3"/>
    <w:rsid w:val="006D0A11"/>
    <w:rsid w:val="006E0A8E"/>
    <w:rsid w:val="00763AD2"/>
    <w:rsid w:val="00766928"/>
    <w:rsid w:val="007747E5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62CD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2021-10-01T07:11:00Z</cp:lastPrinted>
  <dcterms:created xsi:type="dcterms:W3CDTF">2021-09-29T12:30:00Z</dcterms:created>
  <dcterms:modified xsi:type="dcterms:W3CDTF">2021-11-29T08:42:00Z</dcterms:modified>
</cp:coreProperties>
</file>